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E28BE" w14:textId="7B635812" w:rsidR="006D434E" w:rsidRPr="00EB6CC3" w:rsidRDefault="005E54C6">
      <w:pPr>
        <w:pStyle w:val="2nesltext"/>
        <w:contextualSpacing/>
        <w:jc w:val="center"/>
        <w:rPr>
          <w:rFonts w:asciiTheme="minorHAnsi" w:hAnsiTheme="minorHAnsi"/>
          <w:b/>
          <w:lang w:val="en-GB"/>
        </w:rPr>
      </w:pPr>
      <w:r w:rsidRPr="00EB6CC3">
        <w:rPr>
          <w:b/>
          <w:caps/>
          <w:lang w:val="en-GB"/>
        </w:rPr>
        <w:t>ANNEX NO. 4</w:t>
      </w:r>
      <w:r w:rsidR="0038263E" w:rsidRPr="00EB6CC3">
        <w:rPr>
          <w:b/>
          <w:caps/>
          <w:lang w:val="en-GB"/>
        </w:rPr>
        <w:t xml:space="preserve"> </w:t>
      </w:r>
      <w:r w:rsidR="002869F6" w:rsidRPr="00EB6CC3">
        <w:rPr>
          <w:b/>
          <w:caps/>
          <w:lang w:val="en-GB"/>
        </w:rPr>
        <w:t xml:space="preserve">OF </w:t>
      </w:r>
      <w:r w:rsidR="005E3695" w:rsidRPr="00EB6CC3">
        <w:rPr>
          <w:b/>
          <w:caps/>
          <w:lang w:val="en-GB"/>
        </w:rPr>
        <w:t>DOCUMENTATION OF THE TENDER PROCEDURE</w:t>
      </w:r>
      <w:r w:rsidR="00C84E2F" w:rsidRPr="00EB6CC3">
        <w:rPr>
          <w:b/>
          <w:caps/>
          <w:lang w:val="en-GB"/>
        </w:rPr>
        <w:t xml:space="preserve"> </w:t>
      </w:r>
    </w:p>
    <w:p w14:paraId="59FE28BF" w14:textId="77777777" w:rsidR="006D434E" w:rsidRPr="00EB6CC3" w:rsidRDefault="0038263E">
      <w:pPr>
        <w:pStyle w:val="2nesltext"/>
        <w:contextualSpacing/>
        <w:jc w:val="center"/>
        <w:rPr>
          <w:rFonts w:asciiTheme="minorHAnsi" w:hAnsiTheme="minorHAnsi"/>
          <w:b/>
          <w:sz w:val="28"/>
          <w:lang w:val="en-GB" w:eastAsia="cs-CZ"/>
        </w:rPr>
      </w:pPr>
      <w:r w:rsidRPr="00EB6CC3">
        <w:rPr>
          <w:rFonts w:asciiTheme="minorHAnsi" w:hAnsiTheme="minorHAnsi"/>
          <w:b/>
          <w:sz w:val="28"/>
          <w:lang w:val="en-GB" w:eastAsia="cs-CZ"/>
        </w:rPr>
        <w:t>-</w:t>
      </w:r>
    </w:p>
    <w:p w14:paraId="59FE28C0" w14:textId="7646074E" w:rsidR="006D434E" w:rsidRPr="00EB6CC3" w:rsidRDefault="00EF1BFE">
      <w:pPr>
        <w:pStyle w:val="2nesltext"/>
        <w:contextualSpacing/>
        <w:jc w:val="center"/>
        <w:rPr>
          <w:b/>
          <w:caps/>
          <w:color w:val="004650"/>
          <w:sz w:val="28"/>
          <w:lang w:val="en-GB"/>
        </w:rPr>
      </w:pPr>
      <w:r w:rsidRPr="00EB6CC3">
        <w:rPr>
          <w:b/>
          <w:caps/>
          <w:color w:val="004650"/>
          <w:sz w:val="28"/>
          <w:lang w:val="en-GB"/>
        </w:rPr>
        <w:t>SPECIFICATION OF THE PUBLIC CONTRACT SUBJECT</w:t>
      </w:r>
      <w:r w:rsidR="00BD5763" w:rsidRPr="00EB6CC3">
        <w:rPr>
          <w:b/>
          <w:caps/>
          <w:color w:val="004650"/>
          <w:sz w:val="28"/>
          <w:lang w:val="en-GB"/>
        </w:rPr>
        <w:t xml:space="preserve"> </w:t>
      </w:r>
    </w:p>
    <w:p w14:paraId="59FE28C1" w14:textId="77777777" w:rsidR="006D434E" w:rsidRPr="00EB6CC3" w:rsidRDefault="006D434E">
      <w:pPr>
        <w:pStyle w:val="2nesltext"/>
        <w:spacing w:before="240"/>
        <w:rPr>
          <w:rFonts w:asciiTheme="minorHAnsi" w:hAnsiTheme="minorHAnsi"/>
          <w:lang w:val="en-GB" w:eastAsia="cs-CZ"/>
        </w:rPr>
      </w:pPr>
    </w:p>
    <w:p w14:paraId="59FE28C2" w14:textId="6114FCAE" w:rsidR="006D434E" w:rsidRDefault="00656E44">
      <w:pPr>
        <w:pStyle w:val="2nesltext"/>
        <w:spacing w:before="240"/>
        <w:rPr>
          <w:rFonts w:asciiTheme="minorHAnsi" w:hAnsiTheme="minorHAnsi"/>
          <w:lang w:val="en-GB" w:eastAsia="cs-CZ"/>
        </w:rPr>
      </w:pPr>
      <w:r w:rsidRPr="00EB6CC3">
        <w:rPr>
          <w:rFonts w:asciiTheme="minorHAnsi" w:hAnsiTheme="minorHAnsi"/>
          <w:lang w:val="en-GB" w:eastAsia="cs-CZ"/>
        </w:rPr>
        <w:t>The subject of the public contract shall meet the following requirements for technical parameters and equipment:</w:t>
      </w:r>
      <w:r w:rsidR="00346BF6">
        <w:rPr>
          <w:rFonts w:asciiTheme="minorHAnsi" w:hAnsiTheme="minorHAnsi"/>
          <w:lang w:val="en-GB" w:eastAsia="cs-CZ"/>
        </w:rPr>
        <w:t xml:space="preserve"> </w:t>
      </w:r>
    </w:p>
    <w:p w14:paraId="590F9E5E" w14:textId="266BCA7D" w:rsidR="00886FB1" w:rsidRPr="00886FB1" w:rsidRDefault="00886FB1" w:rsidP="004B19D4">
      <w:pPr>
        <w:pStyle w:val="2nesltext"/>
        <w:spacing w:before="240"/>
        <w:rPr>
          <w:rFonts w:asciiTheme="minorHAnsi" w:hAnsiTheme="minorHAnsi"/>
          <w:bCs/>
          <w:lang w:val="en-GB" w:eastAsia="cs-CZ"/>
        </w:rPr>
      </w:pPr>
      <w:r w:rsidRPr="00886FB1">
        <w:rPr>
          <w:rFonts w:asciiTheme="minorHAnsi" w:hAnsiTheme="minorHAnsi"/>
          <w:bCs/>
          <w:lang w:val="en-GB" w:eastAsia="cs-CZ"/>
        </w:rPr>
        <w:t>The proposed low temperature measurement broadband probe for zero magnetic field experiments is a highly specialised instrument that is not commercially produced and must be designed and manufactured to our specific custom requirements.</w:t>
      </w:r>
    </w:p>
    <w:tbl>
      <w:tblPr>
        <w:tblW w:w="9102" w:type="dxa"/>
        <w:tblLayout w:type="fixed"/>
        <w:tblCellMar>
          <w:left w:w="30" w:type="dxa"/>
          <w:right w:w="30" w:type="dxa"/>
        </w:tblCellMar>
        <w:tblLook w:val="0000" w:firstRow="0" w:lastRow="0" w:firstColumn="0" w:lastColumn="0" w:noHBand="0" w:noVBand="0"/>
      </w:tblPr>
      <w:tblGrid>
        <w:gridCol w:w="456"/>
        <w:gridCol w:w="4928"/>
        <w:gridCol w:w="3718"/>
      </w:tblGrid>
      <w:tr w:rsidR="006D434E" w:rsidRPr="00EB6CC3" w14:paraId="59FE28C4" w14:textId="77777777">
        <w:trPr>
          <w:trHeight w:val="242"/>
        </w:trPr>
        <w:tc>
          <w:tcPr>
            <w:tcW w:w="9102" w:type="dxa"/>
            <w:gridSpan w:val="3"/>
            <w:tcBorders>
              <w:top w:val="single" w:sz="2" w:space="0" w:color="000000"/>
              <w:left w:val="single" w:sz="2" w:space="0" w:color="000000"/>
              <w:bottom w:val="single" w:sz="2" w:space="0" w:color="000000"/>
              <w:right w:val="single" w:sz="2" w:space="0" w:color="000000"/>
            </w:tcBorders>
            <w:shd w:val="clear" w:color="auto" w:fill="004650"/>
          </w:tcPr>
          <w:p w14:paraId="59FE28C3" w14:textId="77D82611" w:rsidR="006D434E" w:rsidRPr="00EB6CC3" w:rsidRDefault="00143556" w:rsidP="00EB6CC3">
            <w:pPr>
              <w:autoSpaceDE w:val="0"/>
              <w:autoSpaceDN w:val="0"/>
              <w:adjustRightInd w:val="0"/>
              <w:rPr>
                <w:rFonts w:asciiTheme="minorHAnsi" w:eastAsia="Calibri" w:hAnsiTheme="minorHAnsi" w:cs="Arial"/>
                <w:b/>
                <w:bCs/>
                <w:color w:val="FFFFFF" w:themeColor="background1"/>
                <w:sz w:val="32"/>
                <w:szCs w:val="32"/>
                <w:lang w:val="en-GB"/>
              </w:rPr>
            </w:pPr>
            <w:r w:rsidRPr="00EB6CC3">
              <w:rPr>
                <w:rFonts w:asciiTheme="minorHAnsi" w:eastAsia="Calibri" w:hAnsiTheme="minorHAnsi" w:cs="Arial"/>
                <w:b/>
                <w:bCs/>
                <w:color w:val="FFFFFF" w:themeColor="background1"/>
                <w:sz w:val="32"/>
                <w:szCs w:val="32"/>
                <w:lang w:val="en-GB"/>
              </w:rPr>
              <w:t xml:space="preserve">Technical specification </w:t>
            </w:r>
            <w:r w:rsidR="00D13E4B" w:rsidRPr="00EB6CC3">
              <w:rPr>
                <w:rFonts w:asciiTheme="minorHAnsi" w:eastAsia="Calibri" w:hAnsiTheme="minorHAnsi" w:cs="Arial"/>
                <w:b/>
                <w:bCs/>
                <w:color w:val="FFFFFF" w:themeColor="background1"/>
                <w:sz w:val="32"/>
                <w:szCs w:val="32"/>
                <w:lang w:val="en-GB"/>
              </w:rPr>
              <w:t>–</w:t>
            </w:r>
            <w:r w:rsidRPr="00EB6CC3">
              <w:rPr>
                <w:rFonts w:asciiTheme="minorHAnsi" w:eastAsia="Calibri" w:hAnsiTheme="minorHAnsi" w:cs="Arial"/>
                <w:b/>
                <w:bCs/>
                <w:color w:val="FFFFFF" w:themeColor="background1"/>
                <w:sz w:val="32"/>
                <w:szCs w:val="32"/>
                <w:lang w:val="en-GB"/>
              </w:rPr>
              <w:t xml:space="preserve"> </w:t>
            </w:r>
            <w:r w:rsidR="002A538A" w:rsidRPr="00EB6CC3">
              <w:rPr>
                <w:rFonts w:asciiTheme="minorHAnsi" w:hAnsiTheme="minorHAnsi" w:cstheme="minorHAnsi"/>
                <w:b/>
                <w:bCs/>
                <w:sz w:val="32"/>
                <w:szCs w:val="32"/>
                <w:lang w:val="en-GB"/>
              </w:rPr>
              <w:t>Static NMR low-temperature PROBE for solid state NQR/NMR spectrometer</w:t>
            </w:r>
          </w:p>
        </w:tc>
      </w:tr>
      <w:tr w:rsidR="006D434E" w:rsidRPr="00EB6CC3" w14:paraId="59FE28C7" w14:textId="77777777" w:rsidTr="00E948B6">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59FE28C5" w14:textId="7E0D58CB" w:rsidR="006D434E" w:rsidRPr="00EB6CC3" w:rsidRDefault="00440F3E">
            <w:pPr>
              <w:widowControl w:val="0"/>
              <w:ind w:left="142"/>
              <w:rPr>
                <w:rFonts w:asciiTheme="minorHAnsi" w:eastAsia="Calibri" w:hAnsiTheme="minorHAnsi" w:cstheme="minorHAnsi"/>
                <w:b/>
                <w:bCs/>
                <w:sz w:val="22"/>
                <w:szCs w:val="22"/>
                <w:lang w:val="en-GB"/>
              </w:rPr>
            </w:pPr>
            <w:r w:rsidRPr="00EB6CC3">
              <w:rPr>
                <w:rFonts w:asciiTheme="minorHAnsi" w:eastAsia="Calibri" w:hAnsiTheme="minorHAnsi" w:cstheme="minorHAnsi"/>
                <w:b/>
                <w:bCs/>
                <w:sz w:val="22"/>
                <w:szCs w:val="22"/>
                <w:lang w:val="en-GB"/>
              </w:rPr>
              <w:t>Designation of the delivery (min. brand and type)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59FE28C6" w14:textId="2FBB0D47" w:rsidR="006D434E" w:rsidRPr="00EB6CC3" w:rsidRDefault="00E77085">
            <w:pPr>
              <w:widowControl w:val="0"/>
              <w:jc w:val="center"/>
              <w:rPr>
                <w:rFonts w:asciiTheme="minorHAnsi" w:eastAsia="Calibri" w:hAnsiTheme="minorHAnsi" w:cstheme="minorHAnsi"/>
                <w:b/>
                <w:bCs/>
                <w:sz w:val="22"/>
                <w:szCs w:val="22"/>
                <w:em w:val="comma"/>
                <w:lang w:val="en-GB"/>
              </w:rPr>
            </w:pPr>
            <w:r w:rsidRPr="00EB6CC3">
              <w:rPr>
                <w:rFonts w:ascii="Calibri" w:hAnsi="Calibri"/>
                <w:b/>
                <w:i/>
                <w:sz w:val="22"/>
                <w:highlight w:val="cyan"/>
                <w:lang w:val="en-GB" w:eastAsia="en-US" w:bidi="en-US"/>
              </w:rPr>
              <w:fldChar w:fldCharType="begin"/>
            </w:r>
            <w:r w:rsidRPr="00EB6CC3">
              <w:rPr>
                <w:rFonts w:ascii="Calibri" w:hAnsi="Calibri"/>
                <w:b/>
                <w:i/>
                <w:sz w:val="22"/>
                <w:highlight w:val="cyan"/>
                <w:lang w:val="en-GB" w:eastAsia="en-US" w:bidi="en-US"/>
              </w:rPr>
              <w:instrText xml:space="preserve"> MACROBUTTON  AkcentČárka "[the participant fills out]" </w:instrText>
            </w:r>
            <w:r w:rsidRPr="00EB6CC3">
              <w:rPr>
                <w:rFonts w:ascii="Calibri" w:hAnsi="Calibri"/>
                <w:b/>
                <w:i/>
                <w:sz w:val="22"/>
                <w:highlight w:val="cyan"/>
                <w:lang w:val="en-GB" w:eastAsia="en-US" w:bidi="en-US"/>
              </w:rPr>
              <w:fldChar w:fldCharType="end"/>
            </w:r>
          </w:p>
        </w:tc>
      </w:tr>
      <w:tr w:rsidR="006D434E" w:rsidRPr="00EB6CC3" w14:paraId="59FE28CA" w14:textId="77777777" w:rsidTr="00E948B6">
        <w:trPr>
          <w:trHeight w:val="500"/>
        </w:trPr>
        <w:tc>
          <w:tcPr>
            <w:tcW w:w="5384"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59FE28C8" w14:textId="4E3B9A77" w:rsidR="006D434E" w:rsidRPr="00EB6CC3" w:rsidRDefault="0068775F">
            <w:pPr>
              <w:widowControl w:val="0"/>
              <w:ind w:left="142"/>
              <w:rPr>
                <w:rFonts w:asciiTheme="minorHAnsi" w:eastAsia="Calibri" w:hAnsiTheme="minorHAnsi" w:cstheme="minorHAnsi"/>
                <w:b/>
                <w:bCs/>
                <w:sz w:val="22"/>
                <w:szCs w:val="22"/>
                <w:lang w:val="en-GB"/>
              </w:rPr>
            </w:pPr>
            <w:r w:rsidRPr="00EB6CC3">
              <w:rPr>
                <w:rFonts w:asciiTheme="minorHAnsi" w:eastAsia="Calibri" w:hAnsiTheme="minorHAnsi" w:cstheme="minorHAnsi"/>
                <w:b/>
                <w:bCs/>
                <w:sz w:val="22"/>
                <w:szCs w:val="22"/>
                <w:lang w:val="en-GB"/>
              </w:rPr>
              <w:t xml:space="preserve">Individual technical parameters of the </w:t>
            </w:r>
            <w:r w:rsidR="007A7B0D" w:rsidRPr="00EB6CC3">
              <w:rPr>
                <w:rFonts w:asciiTheme="minorHAnsi" w:eastAsia="Calibri" w:hAnsiTheme="minorHAnsi" w:cstheme="minorHAnsi"/>
                <w:b/>
                <w:bCs/>
                <w:sz w:val="22"/>
                <w:szCs w:val="22"/>
                <w:lang w:val="en-GB"/>
              </w:rPr>
              <w:t>performance</w:t>
            </w:r>
          </w:p>
        </w:tc>
        <w:tc>
          <w:tcPr>
            <w:tcW w:w="3718"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59FE28C9" w14:textId="33238CD7" w:rsidR="006D434E" w:rsidRPr="00EB6CC3" w:rsidRDefault="0095202C">
            <w:pPr>
              <w:widowControl w:val="0"/>
              <w:jc w:val="center"/>
              <w:rPr>
                <w:rFonts w:asciiTheme="minorHAnsi" w:eastAsia="Calibri" w:hAnsiTheme="minorHAnsi" w:cstheme="minorHAnsi"/>
                <w:b/>
                <w:bCs/>
                <w:sz w:val="22"/>
                <w:szCs w:val="22"/>
                <w:lang w:val="en-GB"/>
              </w:rPr>
            </w:pPr>
            <w:r w:rsidRPr="00EB6CC3">
              <w:rPr>
                <w:rFonts w:asciiTheme="minorHAnsi" w:eastAsia="Calibri" w:hAnsiTheme="minorHAnsi" w:cstheme="minorHAnsi"/>
                <w:b/>
                <w:bCs/>
                <w:sz w:val="22"/>
                <w:szCs w:val="22"/>
                <w:lang w:val="en-GB"/>
              </w:rPr>
              <w:t xml:space="preserve">Data about the offered </w:t>
            </w:r>
            <w:r w:rsidR="007A7B0D" w:rsidRPr="00EB6CC3">
              <w:rPr>
                <w:rFonts w:asciiTheme="minorHAnsi" w:eastAsia="Calibri" w:hAnsiTheme="minorHAnsi" w:cstheme="minorHAnsi"/>
                <w:b/>
                <w:bCs/>
                <w:sz w:val="22"/>
                <w:szCs w:val="22"/>
                <w:lang w:val="en-GB"/>
              </w:rPr>
              <w:t>performance</w:t>
            </w:r>
          </w:p>
        </w:tc>
      </w:tr>
      <w:tr w:rsidR="00647191" w:rsidRPr="00EB6CC3" w14:paraId="11325683"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6127D68" w14:textId="41EADCE8" w:rsidR="00647191" w:rsidRPr="00EB6CC3" w:rsidRDefault="00A84E8D" w:rsidP="006D3CF6">
            <w:pPr>
              <w:jc w:val="center"/>
              <w:rPr>
                <w:rFonts w:asciiTheme="minorHAnsi" w:hAnsiTheme="minorHAnsi" w:cstheme="minorHAnsi"/>
                <w:sz w:val="22"/>
                <w:szCs w:val="22"/>
                <w:lang w:val="en-GB"/>
              </w:rPr>
            </w:pPr>
            <w:r w:rsidRPr="00EB6CC3">
              <w:rPr>
                <w:rFonts w:asciiTheme="minorHAnsi" w:hAnsiTheme="minorHAnsi" w:cstheme="minorHAnsi"/>
                <w:sz w:val="22"/>
                <w:szCs w:val="22"/>
                <w:lang w:val="en-GB"/>
              </w:rPr>
              <w:t>1</w:t>
            </w:r>
          </w:p>
        </w:tc>
        <w:tc>
          <w:tcPr>
            <w:tcW w:w="4928" w:type="dxa"/>
            <w:tcBorders>
              <w:top w:val="single" w:sz="2" w:space="0" w:color="000000"/>
              <w:left w:val="single" w:sz="2" w:space="0" w:color="000000"/>
              <w:bottom w:val="single" w:sz="2" w:space="0" w:color="000000"/>
              <w:right w:val="single" w:sz="2" w:space="0" w:color="000000"/>
            </w:tcBorders>
            <w:vAlign w:val="center"/>
          </w:tcPr>
          <w:p w14:paraId="3E61FAF0" w14:textId="3856AB07" w:rsidR="00647191" w:rsidRPr="00EB6CC3" w:rsidRDefault="000C0A1B" w:rsidP="006439B3">
            <w:pPr>
              <w:suppressAutoHyphens w:val="0"/>
              <w:autoSpaceDE w:val="0"/>
              <w:autoSpaceDN w:val="0"/>
              <w:adjustRightInd w:val="0"/>
              <w:jc w:val="both"/>
              <w:rPr>
                <w:rFonts w:asciiTheme="minorHAnsi" w:hAnsiTheme="minorHAnsi" w:cstheme="minorHAnsi"/>
                <w:sz w:val="22"/>
                <w:szCs w:val="22"/>
                <w:lang w:val="en-GB"/>
              </w:rPr>
            </w:pPr>
            <w:r w:rsidRPr="00EB6CC3">
              <w:rPr>
                <w:rFonts w:asciiTheme="minorHAnsi" w:hAnsiTheme="minorHAnsi" w:cstheme="minorHAnsi"/>
                <w:sz w:val="22"/>
                <w:szCs w:val="22"/>
                <w:lang w:val="en-GB"/>
              </w:rPr>
              <w:t xml:space="preserve">static single-channel probe with manual tuning and matching of the resonant circuit </w:t>
            </w:r>
          </w:p>
        </w:tc>
        <w:tc>
          <w:tcPr>
            <w:tcW w:w="3718" w:type="dxa"/>
            <w:tcBorders>
              <w:top w:val="single" w:sz="2" w:space="0" w:color="000000"/>
              <w:left w:val="single" w:sz="2" w:space="0" w:color="000000"/>
              <w:bottom w:val="single" w:sz="2" w:space="0" w:color="000000"/>
              <w:right w:val="single" w:sz="2" w:space="0" w:color="000000"/>
            </w:tcBorders>
            <w:vAlign w:val="center"/>
          </w:tcPr>
          <w:p w14:paraId="4FE4A247" w14:textId="6EFF7BD4" w:rsidR="0055580C" w:rsidRPr="00EB6CC3" w:rsidRDefault="005A5538" w:rsidP="0055580C">
            <w:pPr>
              <w:widowControl w:val="0"/>
              <w:jc w:val="center"/>
              <w:rPr>
                <w:rFonts w:asciiTheme="minorHAnsi" w:hAnsiTheme="minorHAnsi" w:cstheme="minorHAnsi"/>
                <w:b/>
                <w:i/>
                <w:sz w:val="22"/>
                <w:szCs w:val="22"/>
                <w:highlight w:val="cyan"/>
                <w:lang w:val="en-GB" w:eastAsia="en-US" w:bidi="en-US"/>
              </w:rPr>
            </w:pPr>
            <w:r w:rsidRPr="00EB6CC3">
              <w:rPr>
                <w:rFonts w:asciiTheme="minorHAnsi" w:hAnsiTheme="minorHAnsi" w:cstheme="minorHAnsi"/>
                <w:b/>
                <w:i/>
                <w:sz w:val="22"/>
                <w:szCs w:val="22"/>
                <w:highlight w:val="cyan"/>
                <w:lang w:val="en-GB" w:eastAsia="en-US" w:bidi="en-US"/>
              </w:rPr>
              <w:fldChar w:fldCharType="begin"/>
            </w:r>
            <w:r w:rsidRPr="00EB6CC3">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EB6CC3">
              <w:rPr>
                <w:rFonts w:asciiTheme="minorHAnsi" w:hAnsiTheme="minorHAnsi" w:cstheme="minorHAnsi"/>
                <w:b/>
                <w:i/>
                <w:sz w:val="22"/>
                <w:szCs w:val="22"/>
                <w:highlight w:val="cyan"/>
                <w:lang w:val="en-GB" w:eastAsia="en-US" w:bidi="en-US"/>
              </w:rPr>
              <w:fldChar w:fldCharType="end"/>
            </w:r>
          </w:p>
        </w:tc>
      </w:tr>
      <w:tr w:rsidR="00036008" w:rsidRPr="00EB6CC3" w14:paraId="59FE28CF"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9FE28CB" w14:textId="5488313F" w:rsidR="00036008" w:rsidRPr="00EB6CC3" w:rsidRDefault="00036008" w:rsidP="00036008">
            <w:pPr>
              <w:jc w:val="center"/>
              <w:rPr>
                <w:rFonts w:asciiTheme="minorHAnsi" w:eastAsia="Calibri" w:hAnsiTheme="minorHAnsi" w:cstheme="minorHAnsi"/>
                <w:color w:val="000000"/>
                <w:sz w:val="22"/>
                <w:szCs w:val="22"/>
                <w:lang w:val="en-GB"/>
              </w:rPr>
            </w:pPr>
            <w:r w:rsidRPr="00EB6CC3">
              <w:rPr>
                <w:rFonts w:asciiTheme="minorHAnsi" w:eastAsia="Calibri" w:hAnsiTheme="minorHAnsi" w:cstheme="minorHAnsi"/>
                <w:color w:val="000000"/>
                <w:sz w:val="22"/>
                <w:szCs w:val="22"/>
                <w:lang w:val="en-GB"/>
              </w:rPr>
              <w:t>2</w:t>
            </w:r>
          </w:p>
        </w:tc>
        <w:tc>
          <w:tcPr>
            <w:tcW w:w="4928" w:type="dxa"/>
            <w:tcBorders>
              <w:top w:val="single" w:sz="2" w:space="0" w:color="000000"/>
              <w:left w:val="single" w:sz="2" w:space="0" w:color="000000"/>
              <w:bottom w:val="single" w:sz="2" w:space="0" w:color="000000"/>
              <w:right w:val="single" w:sz="2" w:space="0" w:color="000000"/>
            </w:tcBorders>
            <w:vAlign w:val="center"/>
          </w:tcPr>
          <w:p w14:paraId="59FE28CC" w14:textId="1B8E3EA0" w:rsidR="00036008" w:rsidRPr="00EB6CC3" w:rsidRDefault="009343D3" w:rsidP="00C53139">
            <w:pPr>
              <w:suppressAutoHyphens w:val="0"/>
              <w:autoSpaceDE w:val="0"/>
              <w:autoSpaceDN w:val="0"/>
              <w:adjustRightInd w:val="0"/>
              <w:rPr>
                <w:rFonts w:asciiTheme="minorHAnsi" w:hAnsiTheme="minorHAnsi" w:cstheme="minorHAnsi"/>
                <w:sz w:val="22"/>
                <w:szCs w:val="22"/>
                <w:lang w:val="en-GB"/>
              </w:rPr>
            </w:pPr>
            <w:r w:rsidRPr="00EB6CC3">
              <w:rPr>
                <w:rFonts w:asciiTheme="minorHAnsi" w:hAnsiTheme="minorHAnsi" w:cstheme="minorHAnsi"/>
                <w:sz w:val="22"/>
                <w:szCs w:val="22"/>
                <w:lang w:val="en-GB"/>
              </w:rPr>
              <w:t>probe optimised for measurements of magnet</w:t>
            </w:r>
            <w:r w:rsidR="00667786">
              <w:rPr>
                <w:rFonts w:asciiTheme="minorHAnsi" w:hAnsiTheme="minorHAnsi" w:cstheme="minorHAnsi"/>
                <w:sz w:val="22"/>
                <w:szCs w:val="22"/>
                <w:lang w:val="en-GB"/>
              </w:rPr>
              <w:t>i</w:t>
            </w:r>
            <w:r w:rsidRPr="00EB6CC3">
              <w:rPr>
                <w:rFonts w:asciiTheme="minorHAnsi" w:hAnsiTheme="minorHAnsi" w:cstheme="minorHAnsi"/>
                <w:sz w:val="22"/>
                <w:szCs w:val="22"/>
                <w:lang w:val="en-GB"/>
              </w:rPr>
              <w:t>cally ordered materials in zero external field at 4.2 K with the sample/probe-head in direct contact to liquid Helium in a Dewar wessel</w:t>
            </w:r>
          </w:p>
        </w:tc>
        <w:tc>
          <w:tcPr>
            <w:tcW w:w="3718" w:type="dxa"/>
            <w:tcBorders>
              <w:top w:val="single" w:sz="2" w:space="0" w:color="000000"/>
              <w:left w:val="single" w:sz="2" w:space="0" w:color="000000"/>
              <w:bottom w:val="single" w:sz="2" w:space="0" w:color="000000"/>
              <w:right w:val="single" w:sz="2" w:space="0" w:color="000000"/>
            </w:tcBorders>
            <w:vAlign w:val="center"/>
          </w:tcPr>
          <w:p w14:paraId="59FE28CE" w14:textId="7534ABB0" w:rsidR="00036008" w:rsidRPr="00EB6CC3" w:rsidRDefault="00036008" w:rsidP="00036008">
            <w:pPr>
              <w:widowControl w:val="0"/>
              <w:jc w:val="center"/>
              <w:rPr>
                <w:rFonts w:asciiTheme="minorHAnsi" w:eastAsia="Calibri" w:hAnsiTheme="minorHAnsi" w:cstheme="minorHAnsi"/>
                <w:b/>
                <w:bCs/>
                <w:i/>
                <w:iCs/>
                <w:color w:val="000000"/>
                <w:sz w:val="22"/>
                <w:szCs w:val="22"/>
                <w:highlight w:val="cyan"/>
                <w:lang w:val="en-GB"/>
              </w:rPr>
            </w:pPr>
            <w:r w:rsidRPr="00EB6CC3">
              <w:rPr>
                <w:rFonts w:asciiTheme="minorHAnsi" w:hAnsiTheme="minorHAnsi" w:cstheme="minorHAnsi"/>
                <w:b/>
                <w:i/>
                <w:sz w:val="22"/>
                <w:szCs w:val="22"/>
                <w:highlight w:val="cyan"/>
                <w:lang w:val="en-GB" w:eastAsia="en-US" w:bidi="en-US"/>
              </w:rPr>
              <w:fldChar w:fldCharType="begin"/>
            </w:r>
            <w:r w:rsidRPr="00EB6CC3">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EB6CC3">
              <w:rPr>
                <w:rFonts w:asciiTheme="minorHAnsi" w:hAnsiTheme="minorHAnsi" w:cstheme="minorHAnsi"/>
                <w:b/>
                <w:i/>
                <w:sz w:val="22"/>
                <w:szCs w:val="22"/>
                <w:highlight w:val="cyan"/>
                <w:lang w:val="en-GB" w:eastAsia="en-US" w:bidi="en-US"/>
              </w:rPr>
              <w:fldChar w:fldCharType="end"/>
            </w:r>
            <w:r w:rsidR="006439B3" w:rsidRPr="00EB6CC3">
              <w:rPr>
                <w:rFonts w:asciiTheme="minorHAnsi" w:hAnsiTheme="minorHAnsi" w:cstheme="minorHAnsi"/>
                <w:b/>
                <w:i/>
                <w:sz w:val="22"/>
                <w:szCs w:val="22"/>
                <w:highlight w:val="cyan"/>
                <w:lang w:val="en-GB" w:eastAsia="en-US" w:bidi="en-US"/>
              </w:rPr>
              <w:t xml:space="preserve"> and will enter the actual value</w:t>
            </w:r>
          </w:p>
        </w:tc>
      </w:tr>
      <w:tr w:rsidR="004D6741" w:rsidRPr="00EB6CC3" w14:paraId="59FE28D4"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9FE28D0" w14:textId="3C38754B" w:rsidR="004D6741" w:rsidRPr="00EB6CC3" w:rsidRDefault="004D6741" w:rsidP="004D6741">
            <w:pPr>
              <w:jc w:val="center"/>
              <w:rPr>
                <w:rFonts w:asciiTheme="minorHAnsi" w:eastAsia="Calibri" w:hAnsiTheme="minorHAnsi" w:cstheme="minorHAnsi"/>
                <w:color w:val="000000"/>
                <w:sz w:val="22"/>
                <w:szCs w:val="22"/>
                <w:lang w:val="en-GB"/>
              </w:rPr>
            </w:pPr>
            <w:r w:rsidRPr="00EB6CC3">
              <w:rPr>
                <w:rFonts w:asciiTheme="minorHAnsi" w:eastAsia="Calibri" w:hAnsiTheme="minorHAnsi" w:cstheme="minorHAnsi"/>
                <w:color w:val="000000"/>
                <w:sz w:val="22"/>
                <w:szCs w:val="22"/>
                <w:lang w:val="en-GB"/>
              </w:rPr>
              <w:t>3</w:t>
            </w:r>
          </w:p>
        </w:tc>
        <w:tc>
          <w:tcPr>
            <w:tcW w:w="4928" w:type="dxa"/>
            <w:tcBorders>
              <w:top w:val="single" w:sz="2" w:space="0" w:color="000000"/>
              <w:left w:val="single" w:sz="2" w:space="0" w:color="000000"/>
              <w:bottom w:val="single" w:sz="2" w:space="0" w:color="000000"/>
              <w:right w:val="single" w:sz="2" w:space="0" w:color="000000"/>
            </w:tcBorders>
            <w:vAlign w:val="center"/>
          </w:tcPr>
          <w:p w14:paraId="59FE28D1" w14:textId="1F7F3738" w:rsidR="004D6741" w:rsidRPr="00EB6CC3" w:rsidRDefault="00173970" w:rsidP="00C53139">
            <w:pPr>
              <w:suppressAutoHyphens w:val="0"/>
              <w:autoSpaceDE w:val="0"/>
              <w:autoSpaceDN w:val="0"/>
              <w:adjustRightInd w:val="0"/>
              <w:rPr>
                <w:rFonts w:asciiTheme="minorHAnsi" w:hAnsiTheme="minorHAnsi" w:cstheme="minorHAnsi"/>
                <w:sz w:val="22"/>
                <w:szCs w:val="22"/>
                <w:lang w:val="en-GB"/>
              </w:rPr>
            </w:pPr>
            <w:r w:rsidRPr="00EB6CC3">
              <w:rPr>
                <w:rFonts w:asciiTheme="minorHAnsi" w:hAnsiTheme="minorHAnsi" w:cstheme="minorHAnsi"/>
                <w:sz w:val="22"/>
                <w:szCs w:val="22"/>
                <w:lang w:val="en-GB"/>
              </w:rPr>
              <w:t>outer diameter of the probe-head part submerged to cryoliquid &lt;45 mm</w:t>
            </w:r>
          </w:p>
        </w:tc>
        <w:tc>
          <w:tcPr>
            <w:tcW w:w="3718" w:type="dxa"/>
            <w:tcBorders>
              <w:top w:val="single" w:sz="2" w:space="0" w:color="000000"/>
              <w:left w:val="single" w:sz="2" w:space="0" w:color="000000"/>
              <w:bottom w:val="single" w:sz="2" w:space="0" w:color="000000"/>
              <w:right w:val="single" w:sz="2" w:space="0" w:color="000000"/>
            </w:tcBorders>
            <w:vAlign w:val="center"/>
          </w:tcPr>
          <w:p w14:paraId="59FE28D3" w14:textId="73BA95FD" w:rsidR="004D6741" w:rsidRPr="00EB6CC3" w:rsidRDefault="004D6741" w:rsidP="004D6741">
            <w:pPr>
              <w:widowControl w:val="0"/>
              <w:jc w:val="center"/>
              <w:rPr>
                <w:rFonts w:asciiTheme="minorHAnsi" w:hAnsiTheme="minorHAnsi" w:cstheme="minorHAnsi"/>
                <w:b/>
                <w:i/>
                <w:sz w:val="22"/>
                <w:szCs w:val="22"/>
                <w:highlight w:val="cyan"/>
                <w:lang w:val="en-GB" w:eastAsia="en-US" w:bidi="en-US"/>
              </w:rPr>
            </w:pPr>
            <w:r w:rsidRPr="00EB6CC3">
              <w:rPr>
                <w:rFonts w:asciiTheme="minorHAnsi" w:hAnsiTheme="minorHAnsi" w:cstheme="minorHAnsi"/>
                <w:b/>
                <w:i/>
                <w:sz w:val="22"/>
                <w:szCs w:val="22"/>
                <w:highlight w:val="cyan"/>
                <w:lang w:val="en-GB" w:eastAsia="en-US" w:bidi="en-US"/>
              </w:rPr>
              <w:fldChar w:fldCharType="begin"/>
            </w:r>
            <w:r w:rsidRPr="00EB6CC3">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EB6CC3">
              <w:rPr>
                <w:rFonts w:asciiTheme="minorHAnsi" w:hAnsiTheme="minorHAnsi" w:cstheme="minorHAnsi"/>
                <w:b/>
                <w:i/>
                <w:sz w:val="22"/>
                <w:szCs w:val="22"/>
                <w:highlight w:val="cyan"/>
                <w:lang w:val="en-GB" w:eastAsia="en-US" w:bidi="en-US"/>
              </w:rPr>
              <w:fldChar w:fldCharType="end"/>
            </w:r>
            <w:r w:rsidRPr="00EB6CC3">
              <w:rPr>
                <w:rFonts w:asciiTheme="minorHAnsi" w:hAnsiTheme="minorHAnsi" w:cstheme="minorHAnsi"/>
                <w:b/>
                <w:i/>
                <w:sz w:val="22"/>
                <w:szCs w:val="22"/>
                <w:highlight w:val="cyan"/>
                <w:lang w:val="en-GB" w:eastAsia="en-US" w:bidi="en-US"/>
              </w:rPr>
              <w:t xml:space="preserve"> and will enter the actual value</w:t>
            </w:r>
          </w:p>
        </w:tc>
      </w:tr>
      <w:tr w:rsidR="004D6741" w:rsidRPr="00EB6CC3" w14:paraId="59FE28D9"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9FE28D5" w14:textId="5CF8983C" w:rsidR="004D6741" w:rsidRPr="00EB6CC3" w:rsidRDefault="004D6741" w:rsidP="004D6741">
            <w:pPr>
              <w:jc w:val="center"/>
              <w:rPr>
                <w:rFonts w:asciiTheme="minorHAnsi" w:eastAsia="Calibri" w:hAnsiTheme="minorHAnsi" w:cstheme="minorHAnsi"/>
                <w:color w:val="000000"/>
                <w:sz w:val="22"/>
                <w:szCs w:val="22"/>
                <w:lang w:val="en-GB"/>
              </w:rPr>
            </w:pPr>
            <w:r w:rsidRPr="00EB6CC3">
              <w:rPr>
                <w:rFonts w:asciiTheme="minorHAnsi" w:eastAsia="Calibri" w:hAnsiTheme="minorHAnsi" w:cstheme="minorHAnsi"/>
                <w:color w:val="000000"/>
                <w:sz w:val="22"/>
                <w:szCs w:val="22"/>
                <w:lang w:val="en-GB"/>
              </w:rPr>
              <w:t>4</w:t>
            </w:r>
          </w:p>
        </w:tc>
        <w:tc>
          <w:tcPr>
            <w:tcW w:w="4928" w:type="dxa"/>
            <w:tcBorders>
              <w:top w:val="single" w:sz="2" w:space="0" w:color="000000"/>
              <w:left w:val="single" w:sz="2" w:space="0" w:color="000000"/>
              <w:bottom w:val="single" w:sz="2" w:space="0" w:color="000000"/>
              <w:right w:val="single" w:sz="2" w:space="0" w:color="000000"/>
            </w:tcBorders>
            <w:vAlign w:val="center"/>
          </w:tcPr>
          <w:p w14:paraId="59FE28D6" w14:textId="32CFA046" w:rsidR="004D6741" w:rsidRPr="00EB6CC3" w:rsidRDefault="008C67BF" w:rsidP="002D163F">
            <w:pPr>
              <w:autoSpaceDE w:val="0"/>
              <w:autoSpaceDN w:val="0"/>
              <w:adjustRightInd w:val="0"/>
              <w:jc w:val="both"/>
              <w:rPr>
                <w:rFonts w:asciiTheme="minorHAnsi" w:hAnsiTheme="minorHAnsi" w:cstheme="minorHAnsi"/>
                <w:sz w:val="22"/>
                <w:szCs w:val="22"/>
                <w:lang w:val="en-GB"/>
              </w:rPr>
            </w:pPr>
            <w:r w:rsidRPr="008C67BF">
              <w:rPr>
                <w:rFonts w:asciiTheme="minorHAnsi" w:hAnsiTheme="minorHAnsi" w:cstheme="minorHAnsi"/>
                <w:sz w:val="22"/>
                <w:szCs w:val="22"/>
                <w:lang w:val="en-GB"/>
              </w:rPr>
              <w:t>tuning range optimised for broadband experiments via interchangeable coils and RF components</w:t>
            </w:r>
            <w:r>
              <w:rPr>
                <w:rFonts w:asciiTheme="minorHAnsi" w:hAnsiTheme="minorHAnsi" w:cstheme="minorHAnsi"/>
                <w:sz w:val="22"/>
                <w:szCs w:val="22"/>
                <w:lang w:val="en-GB"/>
              </w:rPr>
              <w:t xml:space="preserve"> </w:t>
            </w:r>
          </w:p>
        </w:tc>
        <w:tc>
          <w:tcPr>
            <w:tcW w:w="3718" w:type="dxa"/>
            <w:tcBorders>
              <w:top w:val="single" w:sz="2" w:space="0" w:color="000000"/>
              <w:left w:val="single" w:sz="2" w:space="0" w:color="000000"/>
              <w:bottom w:val="single" w:sz="2" w:space="0" w:color="000000"/>
              <w:right w:val="single" w:sz="2" w:space="0" w:color="000000"/>
            </w:tcBorders>
            <w:vAlign w:val="center"/>
          </w:tcPr>
          <w:p w14:paraId="59FE28D8" w14:textId="5C7A7DE7" w:rsidR="004D6741" w:rsidRPr="00EB6CC3" w:rsidRDefault="004D6741" w:rsidP="004D6741">
            <w:pPr>
              <w:widowControl w:val="0"/>
              <w:jc w:val="center"/>
              <w:rPr>
                <w:rFonts w:asciiTheme="minorHAnsi" w:hAnsiTheme="minorHAnsi" w:cstheme="minorHAnsi"/>
                <w:b/>
                <w:i/>
                <w:sz w:val="22"/>
                <w:szCs w:val="22"/>
                <w:highlight w:val="cyan"/>
                <w:lang w:val="en-GB" w:eastAsia="en-US" w:bidi="en-US"/>
              </w:rPr>
            </w:pPr>
            <w:r w:rsidRPr="00EB6CC3">
              <w:rPr>
                <w:rFonts w:asciiTheme="minorHAnsi" w:hAnsiTheme="minorHAnsi" w:cstheme="minorHAnsi"/>
                <w:b/>
                <w:i/>
                <w:sz w:val="22"/>
                <w:szCs w:val="22"/>
                <w:highlight w:val="cyan"/>
                <w:lang w:val="en-GB" w:eastAsia="en-US" w:bidi="en-US"/>
              </w:rPr>
              <w:fldChar w:fldCharType="begin"/>
            </w:r>
            <w:r w:rsidRPr="00EB6CC3">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EB6CC3">
              <w:rPr>
                <w:rFonts w:asciiTheme="minorHAnsi" w:hAnsiTheme="minorHAnsi" w:cstheme="minorHAnsi"/>
                <w:b/>
                <w:i/>
                <w:sz w:val="22"/>
                <w:szCs w:val="22"/>
                <w:highlight w:val="cyan"/>
                <w:lang w:val="en-GB" w:eastAsia="en-US" w:bidi="en-US"/>
              </w:rPr>
              <w:fldChar w:fldCharType="end"/>
            </w:r>
          </w:p>
        </w:tc>
      </w:tr>
      <w:tr w:rsidR="004D6741" w:rsidRPr="00EB6CC3" w14:paraId="0B6ACF0A"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29F1E94E" w14:textId="23CC942F" w:rsidR="004D6741" w:rsidRPr="00EB6CC3" w:rsidRDefault="004D6741" w:rsidP="004D6741">
            <w:pPr>
              <w:jc w:val="center"/>
              <w:rPr>
                <w:rFonts w:asciiTheme="minorHAnsi" w:eastAsia="Calibri" w:hAnsiTheme="minorHAnsi" w:cstheme="minorHAnsi"/>
                <w:color w:val="000000"/>
                <w:sz w:val="22"/>
                <w:szCs w:val="22"/>
                <w:lang w:val="en-GB"/>
              </w:rPr>
            </w:pPr>
            <w:r w:rsidRPr="00EB6CC3">
              <w:rPr>
                <w:rFonts w:asciiTheme="minorHAnsi" w:eastAsia="Calibri" w:hAnsiTheme="minorHAnsi" w:cstheme="minorHAnsi"/>
                <w:color w:val="000000"/>
                <w:sz w:val="22"/>
                <w:szCs w:val="22"/>
                <w:lang w:val="en-GB"/>
              </w:rPr>
              <w:t>5</w:t>
            </w:r>
          </w:p>
        </w:tc>
        <w:tc>
          <w:tcPr>
            <w:tcW w:w="4928" w:type="dxa"/>
            <w:tcBorders>
              <w:top w:val="single" w:sz="2" w:space="0" w:color="000000"/>
              <w:left w:val="single" w:sz="2" w:space="0" w:color="000000"/>
              <w:bottom w:val="single" w:sz="2" w:space="0" w:color="000000"/>
              <w:right w:val="single" w:sz="2" w:space="0" w:color="000000"/>
            </w:tcBorders>
            <w:vAlign w:val="center"/>
          </w:tcPr>
          <w:p w14:paraId="40903159" w14:textId="01002366" w:rsidR="004D6741" w:rsidRPr="00EB6CC3" w:rsidRDefault="003A46DA" w:rsidP="000E6CC0">
            <w:pPr>
              <w:suppressAutoHyphens w:val="0"/>
              <w:autoSpaceDE w:val="0"/>
              <w:autoSpaceDN w:val="0"/>
              <w:adjustRightInd w:val="0"/>
              <w:jc w:val="both"/>
              <w:rPr>
                <w:rFonts w:asciiTheme="minorHAnsi" w:hAnsiTheme="minorHAnsi" w:cstheme="minorHAnsi"/>
                <w:sz w:val="22"/>
                <w:szCs w:val="22"/>
                <w:lang w:val="en-GB"/>
              </w:rPr>
            </w:pPr>
            <w:r w:rsidRPr="00EB6CC3">
              <w:rPr>
                <w:rFonts w:asciiTheme="minorHAnsi" w:hAnsiTheme="minorHAnsi" w:cstheme="minorHAnsi"/>
                <w:sz w:val="22"/>
                <w:szCs w:val="22"/>
                <w:lang w:val="en-GB"/>
              </w:rPr>
              <w:t>compatible with the NMR-Service (TECMAG) spectrometer and Avance II spectrometer installed in our laboratory</w:t>
            </w:r>
          </w:p>
        </w:tc>
        <w:tc>
          <w:tcPr>
            <w:tcW w:w="3718" w:type="dxa"/>
            <w:tcBorders>
              <w:top w:val="single" w:sz="2" w:space="0" w:color="000000"/>
              <w:left w:val="single" w:sz="2" w:space="0" w:color="000000"/>
              <w:bottom w:val="single" w:sz="2" w:space="0" w:color="000000"/>
              <w:right w:val="single" w:sz="2" w:space="0" w:color="000000"/>
            </w:tcBorders>
            <w:vAlign w:val="center"/>
          </w:tcPr>
          <w:p w14:paraId="76C1FF44" w14:textId="4FF7C670" w:rsidR="004D6741" w:rsidRPr="00EB6CC3" w:rsidRDefault="004D6741" w:rsidP="004D6741">
            <w:pPr>
              <w:widowControl w:val="0"/>
              <w:jc w:val="center"/>
              <w:rPr>
                <w:rFonts w:asciiTheme="minorHAnsi" w:hAnsiTheme="minorHAnsi" w:cstheme="minorHAnsi"/>
                <w:b/>
                <w:i/>
                <w:sz w:val="22"/>
                <w:szCs w:val="22"/>
                <w:highlight w:val="cyan"/>
                <w:lang w:val="en-GB" w:eastAsia="en-US" w:bidi="en-US"/>
              </w:rPr>
            </w:pPr>
            <w:r w:rsidRPr="00EB6CC3">
              <w:rPr>
                <w:rFonts w:asciiTheme="minorHAnsi" w:hAnsiTheme="minorHAnsi" w:cstheme="minorHAnsi"/>
                <w:b/>
                <w:i/>
                <w:sz w:val="22"/>
                <w:szCs w:val="22"/>
                <w:highlight w:val="cyan"/>
                <w:lang w:val="en-GB" w:eastAsia="en-US" w:bidi="en-US"/>
              </w:rPr>
              <w:fldChar w:fldCharType="begin"/>
            </w:r>
            <w:r w:rsidRPr="00EB6CC3">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EB6CC3">
              <w:rPr>
                <w:rFonts w:asciiTheme="minorHAnsi" w:hAnsiTheme="minorHAnsi" w:cstheme="minorHAnsi"/>
                <w:b/>
                <w:i/>
                <w:sz w:val="22"/>
                <w:szCs w:val="22"/>
                <w:highlight w:val="cyan"/>
                <w:lang w:val="en-GB" w:eastAsia="en-US" w:bidi="en-US"/>
              </w:rPr>
              <w:fldChar w:fldCharType="end"/>
            </w:r>
            <w:r w:rsidRPr="00EB6CC3">
              <w:rPr>
                <w:rFonts w:asciiTheme="minorHAnsi" w:hAnsiTheme="minorHAnsi" w:cstheme="minorHAnsi"/>
                <w:b/>
                <w:i/>
                <w:sz w:val="22"/>
                <w:szCs w:val="22"/>
                <w:highlight w:val="cyan"/>
                <w:lang w:val="en-GB" w:eastAsia="en-US" w:bidi="en-US"/>
              </w:rPr>
              <w:t xml:space="preserve"> </w:t>
            </w:r>
          </w:p>
        </w:tc>
      </w:tr>
      <w:tr w:rsidR="004D6741" w:rsidRPr="00EB6CC3" w14:paraId="768F9886" w14:textId="77777777" w:rsidTr="00E948B6">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1B956583" w14:textId="7A5DA64A" w:rsidR="004D6741" w:rsidRPr="00EB6CC3" w:rsidRDefault="004D6741" w:rsidP="004D6741">
            <w:pPr>
              <w:jc w:val="center"/>
              <w:rPr>
                <w:rFonts w:asciiTheme="minorHAnsi" w:eastAsia="Calibri" w:hAnsiTheme="minorHAnsi" w:cstheme="minorHAnsi"/>
                <w:color w:val="000000"/>
                <w:sz w:val="22"/>
                <w:szCs w:val="22"/>
                <w:lang w:val="en-GB"/>
              </w:rPr>
            </w:pPr>
            <w:r w:rsidRPr="00EB6CC3">
              <w:rPr>
                <w:rFonts w:asciiTheme="minorHAnsi" w:eastAsia="Calibri" w:hAnsiTheme="minorHAnsi" w:cstheme="minorHAnsi"/>
                <w:color w:val="000000"/>
                <w:sz w:val="22"/>
                <w:szCs w:val="22"/>
                <w:lang w:val="en-GB"/>
              </w:rPr>
              <w:t>6</w:t>
            </w:r>
          </w:p>
        </w:tc>
        <w:tc>
          <w:tcPr>
            <w:tcW w:w="4928" w:type="dxa"/>
            <w:tcBorders>
              <w:top w:val="single" w:sz="2" w:space="0" w:color="000000"/>
              <w:left w:val="single" w:sz="2" w:space="0" w:color="000000"/>
              <w:bottom w:val="single" w:sz="2" w:space="0" w:color="000000"/>
              <w:right w:val="single" w:sz="2" w:space="0" w:color="000000"/>
            </w:tcBorders>
            <w:vAlign w:val="center"/>
          </w:tcPr>
          <w:p w14:paraId="4D6412E1" w14:textId="75DD40BB" w:rsidR="004D6741" w:rsidRPr="00EB6CC3" w:rsidRDefault="00195354" w:rsidP="004D6741">
            <w:pPr>
              <w:rPr>
                <w:rFonts w:asciiTheme="minorHAnsi" w:hAnsiTheme="minorHAnsi" w:cstheme="minorHAnsi"/>
                <w:sz w:val="22"/>
                <w:szCs w:val="22"/>
                <w:lang w:val="en-GB"/>
              </w:rPr>
            </w:pPr>
            <w:r w:rsidRPr="00EB6CC3">
              <w:rPr>
                <w:rFonts w:asciiTheme="minorHAnsi" w:hAnsiTheme="minorHAnsi" w:cstheme="minorHAnsi"/>
                <w:sz w:val="22"/>
                <w:szCs w:val="22"/>
                <w:lang w:val="en-GB"/>
              </w:rPr>
              <w:t>probe equipped with temperature sensor (</w:t>
            </w:r>
            <w:r w:rsidR="008604AB">
              <w:rPr>
                <w:rFonts w:asciiTheme="minorHAnsi" w:hAnsiTheme="minorHAnsi" w:cstheme="minorHAnsi"/>
                <w:sz w:val="22"/>
                <w:szCs w:val="22"/>
                <w:lang w:val="en-GB"/>
              </w:rPr>
              <w:t xml:space="preserve">for example </w:t>
            </w:r>
            <w:r w:rsidRPr="00EB6CC3">
              <w:rPr>
                <w:rFonts w:asciiTheme="minorHAnsi" w:hAnsiTheme="minorHAnsi" w:cstheme="minorHAnsi"/>
                <w:sz w:val="22"/>
                <w:szCs w:val="22"/>
                <w:lang w:val="en-GB"/>
              </w:rPr>
              <w:t>Cernox or other)</w:t>
            </w:r>
          </w:p>
        </w:tc>
        <w:tc>
          <w:tcPr>
            <w:tcW w:w="3718" w:type="dxa"/>
            <w:tcBorders>
              <w:top w:val="single" w:sz="2" w:space="0" w:color="000000"/>
              <w:left w:val="single" w:sz="2" w:space="0" w:color="000000"/>
              <w:bottom w:val="single" w:sz="2" w:space="0" w:color="000000"/>
              <w:right w:val="single" w:sz="2" w:space="0" w:color="000000"/>
            </w:tcBorders>
            <w:vAlign w:val="center"/>
          </w:tcPr>
          <w:p w14:paraId="133515BC" w14:textId="00A0CF58" w:rsidR="004D6741" w:rsidRPr="00EB6CC3" w:rsidRDefault="004D6741" w:rsidP="004D6741">
            <w:pPr>
              <w:widowControl w:val="0"/>
              <w:jc w:val="center"/>
              <w:rPr>
                <w:rFonts w:asciiTheme="minorHAnsi" w:hAnsiTheme="minorHAnsi" w:cstheme="minorHAnsi"/>
                <w:b/>
                <w:i/>
                <w:sz w:val="22"/>
                <w:szCs w:val="22"/>
                <w:highlight w:val="cyan"/>
                <w:lang w:val="en-GB" w:eastAsia="en-US" w:bidi="en-US"/>
              </w:rPr>
            </w:pPr>
            <w:r w:rsidRPr="00EB6CC3">
              <w:rPr>
                <w:rFonts w:asciiTheme="minorHAnsi" w:hAnsiTheme="minorHAnsi" w:cstheme="minorHAnsi"/>
                <w:b/>
                <w:i/>
                <w:sz w:val="22"/>
                <w:szCs w:val="22"/>
                <w:highlight w:val="cyan"/>
                <w:lang w:val="en-GB" w:eastAsia="en-US" w:bidi="en-US"/>
              </w:rPr>
              <w:fldChar w:fldCharType="begin"/>
            </w:r>
            <w:r w:rsidRPr="00EB6CC3">
              <w:rPr>
                <w:rFonts w:asciiTheme="minorHAnsi" w:hAnsiTheme="minorHAnsi" w:cstheme="minorHAnsi"/>
                <w:b/>
                <w:i/>
                <w:sz w:val="22"/>
                <w:szCs w:val="22"/>
                <w:highlight w:val="cyan"/>
                <w:lang w:val="en-GB" w:eastAsia="en-US" w:bidi="en-US"/>
              </w:rPr>
              <w:instrText xml:space="preserve"> MACROBUTTON  AkcentČárka "[the participant fills out - YES/NO]" </w:instrText>
            </w:r>
            <w:r w:rsidRPr="00EB6CC3">
              <w:rPr>
                <w:rFonts w:asciiTheme="minorHAnsi" w:hAnsiTheme="minorHAnsi" w:cstheme="minorHAnsi"/>
                <w:b/>
                <w:i/>
                <w:sz w:val="22"/>
                <w:szCs w:val="22"/>
                <w:highlight w:val="cyan"/>
                <w:lang w:val="en-GB" w:eastAsia="en-US" w:bidi="en-US"/>
              </w:rPr>
              <w:fldChar w:fldCharType="end"/>
            </w:r>
          </w:p>
        </w:tc>
      </w:tr>
    </w:tbl>
    <w:p w14:paraId="583788DA" w14:textId="77777777" w:rsidR="006D3CF6" w:rsidRPr="00EB6CC3" w:rsidRDefault="006D3CF6">
      <w:pPr>
        <w:rPr>
          <w:lang w:val="en-GB"/>
        </w:rPr>
      </w:pPr>
    </w:p>
    <w:p w14:paraId="2B615917" w14:textId="77777777" w:rsidR="00EF09FE" w:rsidRDefault="00EF09FE">
      <w:pPr>
        <w:rPr>
          <w:lang w:val="en-GB"/>
        </w:rPr>
      </w:pPr>
    </w:p>
    <w:p w14:paraId="4FCB5BEC" w14:textId="77777777" w:rsidR="007A4326" w:rsidRPr="00763010" w:rsidRDefault="007A4326" w:rsidP="007A4326">
      <w:pPr>
        <w:jc w:val="both"/>
        <w:rPr>
          <w:rFonts w:asciiTheme="minorHAnsi" w:hAnsiTheme="minorHAnsi" w:cstheme="minorHAnsi"/>
          <w:sz w:val="22"/>
          <w:szCs w:val="18"/>
          <w:u w:val="single"/>
          <w:lang w:val="en-GB"/>
        </w:rPr>
      </w:pPr>
      <w:r w:rsidRPr="00763010">
        <w:rPr>
          <w:rFonts w:asciiTheme="minorHAnsi" w:hAnsiTheme="minorHAnsi" w:cstheme="minorHAnsi"/>
          <w:sz w:val="22"/>
          <w:szCs w:val="18"/>
          <w:u w:val="single"/>
          <w:lang w:val="en-GB"/>
        </w:rPr>
        <w:t>Instructions for the participants:</w:t>
      </w:r>
    </w:p>
    <w:p w14:paraId="4792447A" w14:textId="77777777" w:rsidR="007A4326" w:rsidRPr="00763010" w:rsidRDefault="007A4326" w:rsidP="007A4326">
      <w:pPr>
        <w:jc w:val="both"/>
        <w:rPr>
          <w:rFonts w:asciiTheme="minorHAnsi" w:hAnsiTheme="minorHAnsi" w:cstheme="minorHAnsi"/>
          <w:sz w:val="22"/>
          <w:szCs w:val="18"/>
          <w:u w:val="single"/>
          <w:lang w:val="en-GB"/>
        </w:rPr>
      </w:pPr>
    </w:p>
    <w:p w14:paraId="5159CAB2" w14:textId="77777777" w:rsidR="007A4326" w:rsidRDefault="007A4326" w:rsidP="007A4326">
      <w:pPr>
        <w:jc w:val="both"/>
        <w:rPr>
          <w:rFonts w:asciiTheme="minorHAnsi" w:hAnsiTheme="minorHAnsi" w:cstheme="minorHAnsi"/>
          <w:i/>
          <w:iCs/>
          <w:sz w:val="22"/>
          <w:szCs w:val="18"/>
          <w:lang w:val="en-GB"/>
        </w:rPr>
      </w:pPr>
      <w:r w:rsidRPr="00763010">
        <w:rPr>
          <w:rFonts w:asciiTheme="minorHAnsi" w:hAnsiTheme="minorHAnsi" w:cstheme="minorHAnsi"/>
          <w:i/>
          <w:iCs/>
          <w:sz w:val="22"/>
          <w:szCs w:val="18"/>
          <w:lang w:val="en-GB"/>
        </w:rPr>
        <w:t>The participant fills in the data in the “Data about the offered performance” column, indicating for each item whether the performance offered by him meets the relevant request of the contracting authority (“</w:t>
      </w:r>
      <w:r w:rsidRPr="00763010">
        <w:rPr>
          <w:rFonts w:asciiTheme="minorHAnsi" w:hAnsiTheme="minorHAnsi" w:cstheme="minorHAnsi"/>
          <w:b/>
          <w:bCs/>
          <w:i/>
          <w:iCs/>
          <w:sz w:val="22"/>
          <w:szCs w:val="18"/>
          <w:lang w:val="en-GB"/>
        </w:rPr>
        <w:t>YES</w:t>
      </w:r>
      <w:r w:rsidRPr="00763010">
        <w:rPr>
          <w:rFonts w:asciiTheme="minorHAnsi" w:hAnsiTheme="minorHAnsi" w:cstheme="minorHAnsi"/>
          <w:i/>
          <w:iCs/>
          <w:sz w:val="22"/>
          <w:szCs w:val="18"/>
          <w:lang w:val="en-GB"/>
        </w:rPr>
        <w:t>”) or does not (“</w:t>
      </w:r>
      <w:r w:rsidRPr="00763010">
        <w:rPr>
          <w:rFonts w:asciiTheme="minorHAnsi" w:hAnsiTheme="minorHAnsi" w:cstheme="minorHAnsi"/>
          <w:b/>
          <w:bCs/>
          <w:i/>
          <w:iCs/>
          <w:sz w:val="22"/>
          <w:szCs w:val="18"/>
          <w:lang w:val="en-GB"/>
        </w:rPr>
        <w:t>NO</w:t>
      </w:r>
      <w:r w:rsidRPr="00763010">
        <w:rPr>
          <w:rFonts w:asciiTheme="minorHAnsi" w:hAnsiTheme="minorHAnsi" w:cstheme="minorHAnsi"/>
          <w:i/>
          <w:iCs/>
          <w:sz w:val="22"/>
          <w:szCs w:val="18"/>
          <w:lang w:val="en-GB"/>
        </w:rPr>
        <w:t>”).</w:t>
      </w:r>
    </w:p>
    <w:p w14:paraId="3458DAB7" w14:textId="77777777" w:rsidR="007A4326" w:rsidRPr="00EB6CC3" w:rsidRDefault="007A4326">
      <w:pPr>
        <w:rPr>
          <w:lang w:val="en-GB"/>
        </w:rPr>
      </w:pPr>
    </w:p>
    <w:sectPr w:rsidR="007A4326" w:rsidRPr="00EB6CC3">
      <w:footerReference w:type="default" r:id="rId8"/>
      <w:pgSz w:w="11906" w:h="16838"/>
      <w:pgMar w:top="1417" w:right="1417" w:bottom="1276" w:left="1417"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4E26A" w14:textId="77777777" w:rsidR="00A027AA" w:rsidRDefault="00A027AA">
      <w:r>
        <w:separator/>
      </w:r>
    </w:p>
  </w:endnote>
  <w:endnote w:type="continuationSeparator" w:id="0">
    <w:p w14:paraId="78C748B9" w14:textId="77777777" w:rsidR="00A027AA" w:rsidRDefault="00A02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FreeSans">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2651578"/>
      <w:docPartObj>
        <w:docPartGallery w:val="Page Numbers (Bottom of Page)"/>
        <w:docPartUnique/>
      </w:docPartObj>
    </w:sdtPr>
    <w:sdtContent>
      <w:p w14:paraId="59FE2914" w14:textId="59AE1D5B" w:rsidR="006D434E" w:rsidRDefault="00DA066F">
        <w:pPr>
          <w:pStyle w:val="Zpat"/>
          <w:jc w:val="right"/>
          <w:rPr>
            <w:sz w:val="22"/>
            <w:szCs w:val="22"/>
          </w:rPr>
        </w:pPr>
        <w:r w:rsidRPr="00DA066F">
          <w:rPr>
            <w:rFonts w:asciiTheme="minorHAnsi" w:hAnsiTheme="minorHAnsi" w:cstheme="minorHAnsi"/>
            <w:sz w:val="22"/>
            <w:szCs w:val="22"/>
            <w:lang w:val="en-US"/>
          </w:rPr>
          <w:t>Page</w:t>
        </w:r>
        <w:r w:rsidR="0038263E">
          <w:rPr>
            <w:rFonts w:asciiTheme="minorHAnsi" w:hAnsiTheme="minorHAnsi" w:cstheme="minorHAnsi"/>
            <w:sz w:val="22"/>
            <w:szCs w:val="22"/>
          </w:rPr>
          <w:t xml:space="preserve"> | </w:t>
        </w:r>
        <w:r w:rsidR="0038263E">
          <w:rPr>
            <w:rFonts w:asciiTheme="minorHAnsi" w:hAnsiTheme="minorHAnsi" w:cstheme="minorHAnsi"/>
            <w:sz w:val="22"/>
            <w:szCs w:val="22"/>
          </w:rPr>
          <w:fldChar w:fldCharType="begin"/>
        </w:r>
        <w:r w:rsidR="0038263E">
          <w:rPr>
            <w:rFonts w:ascii="Calibri" w:hAnsi="Calibri" w:cs="Calibri"/>
            <w:sz w:val="22"/>
            <w:szCs w:val="22"/>
          </w:rPr>
          <w:instrText xml:space="preserve"> PAGE </w:instrText>
        </w:r>
        <w:r w:rsidR="0038263E">
          <w:rPr>
            <w:rFonts w:ascii="Calibri" w:hAnsi="Calibri" w:cs="Calibri"/>
            <w:sz w:val="22"/>
            <w:szCs w:val="22"/>
          </w:rPr>
          <w:fldChar w:fldCharType="separate"/>
        </w:r>
        <w:r w:rsidR="0038263E">
          <w:rPr>
            <w:rFonts w:ascii="Calibri" w:hAnsi="Calibri" w:cs="Calibri"/>
            <w:sz w:val="22"/>
            <w:szCs w:val="22"/>
          </w:rPr>
          <w:t>2</w:t>
        </w:r>
        <w:r w:rsidR="0038263E">
          <w:rPr>
            <w:rFonts w:ascii="Calibri" w:hAnsi="Calibri" w:cs="Calibri"/>
            <w:sz w:val="22"/>
            <w:szCs w:val="22"/>
          </w:rPr>
          <w:fldChar w:fldCharType="end"/>
        </w:r>
        <w:r w:rsidR="0038263E">
          <w:rPr>
            <w:sz w:val="22"/>
            <w:szCs w:val="22"/>
          </w:rPr>
          <w:t xml:space="preserve"> </w:t>
        </w:r>
      </w:p>
    </w:sdtContent>
  </w:sdt>
  <w:p w14:paraId="59FE2915" w14:textId="77777777" w:rsidR="006D434E" w:rsidRDefault="006D43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C73B0" w14:textId="77777777" w:rsidR="00A027AA" w:rsidRDefault="00A027AA">
      <w:r>
        <w:separator/>
      </w:r>
    </w:p>
  </w:footnote>
  <w:footnote w:type="continuationSeparator" w:id="0">
    <w:p w14:paraId="7805C732" w14:textId="77777777" w:rsidR="00A027AA" w:rsidRDefault="00A027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0B36FD"/>
    <w:multiLevelType w:val="hybridMultilevel"/>
    <w:tmpl w:val="87C408D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480B1064"/>
    <w:multiLevelType w:val="hybridMultilevel"/>
    <w:tmpl w:val="5FF83B90"/>
    <w:lvl w:ilvl="0" w:tplc="6AAE175A">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F6B33C7"/>
    <w:multiLevelType w:val="hybridMultilevel"/>
    <w:tmpl w:val="7C4280D4"/>
    <w:lvl w:ilvl="0" w:tplc="1B5875E6">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76B180A"/>
    <w:multiLevelType w:val="hybridMultilevel"/>
    <w:tmpl w:val="D48CA21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920993969">
    <w:abstractNumId w:val="2"/>
  </w:num>
  <w:num w:numId="2" w16cid:durableId="714081669">
    <w:abstractNumId w:val="3"/>
  </w:num>
  <w:num w:numId="3" w16cid:durableId="1252399606">
    <w:abstractNumId w:val="0"/>
  </w:num>
  <w:num w:numId="4" w16cid:durableId="6338694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34E"/>
    <w:rsid w:val="00006CE4"/>
    <w:rsid w:val="000339DF"/>
    <w:rsid w:val="00036008"/>
    <w:rsid w:val="000552E0"/>
    <w:rsid w:val="000771E9"/>
    <w:rsid w:val="000C0A1B"/>
    <w:rsid w:val="000E6CC0"/>
    <w:rsid w:val="00143556"/>
    <w:rsid w:val="00154A58"/>
    <w:rsid w:val="00172C5F"/>
    <w:rsid w:val="00173970"/>
    <w:rsid w:val="001778AF"/>
    <w:rsid w:val="001915E2"/>
    <w:rsid w:val="00195354"/>
    <w:rsid w:val="001F4FB9"/>
    <w:rsid w:val="0028220B"/>
    <w:rsid w:val="002869F6"/>
    <w:rsid w:val="002A538A"/>
    <w:rsid w:val="002B636B"/>
    <w:rsid w:val="002C5DC3"/>
    <w:rsid w:val="002D163F"/>
    <w:rsid w:val="002D39B9"/>
    <w:rsid w:val="002E3786"/>
    <w:rsid w:val="002F3247"/>
    <w:rsid w:val="00346BF6"/>
    <w:rsid w:val="00347709"/>
    <w:rsid w:val="0038263E"/>
    <w:rsid w:val="00387280"/>
    <w:rsid w:val="003A46DA"/>
    <w:rsid w:val="003E21B6"/>
    <w:rsid w:val="004048FF"/>
    <w:rsid w:val="004305E2"/>
    <w:rsid w:val="00440F3E"/>
    <w:rsid w:val="0046737F"/>
    <w:rsid w:val="0049297C"/>
    <w:rsid w:val="004A5956"/>
    <w:rsid w:val="004B19D4"/>
    <w:rsid w:val="004D6741"/>
    <w:rsid w:val="00512612"/>
    <w:rsid w:val="00514F18"/>
    <w:rsid w:val="00531290"/>
    <w:rsid w:val="00554A50"/>
    <w:rsid w:val="0055580C"/>
    <w:rsid w:val="00564992"/>
    <w:rsid w:val="005A0C33"/>
    <w:rsid w:val="005A5538"/>
    <w:rsid w:val="005E3695"/>
    <w:rsid w:val="005E54C6"/>
    <w:rsid w:val="006135AC"/>
    <w:rsid w:val="006439B3"/>
    <w:rsid w:val="00647191"/>
    <w:rsid w:val="00656E44"/>
    <w:rsid w:val="00667786"/>
    <w:rsid w:val="0068775F"/>
    <w:rsid w:val="006C0BBA"/>
    <w:rsid w:val="006D3CF6"/>
    <w:rsid w:val="006D434E"/>
    <w:rsid w:val="006F1230"/>
    <w:rsid w:val="00701F03"/>
    <w:rsid w:val="007026A7"/>
    <w:rsid w:val="00715754"/>
    <w:rsid w:val="00785139"/>
    <w:rsid w:val="007A4326"/>
    <w:rsid w:val="007A7B0D"/>
    <w:rsid w:val="007D35E0"/>
    <w:rsid w:val="008301BD"/>
    <w:rsid w:val="008604AB"/>
    <w:rsid w:val="00874218"/>
    <w:rsid w:val="00886FB1"/>
    <w:rsid w:val="008906BF"/>
    <w:rsid w:val="008C67BF"/>
    <w:rsid w:val="009321A8"/>
    <w:rsid w:val="00932C4F"/>
    <w:rsid w:val="009343D3"/>
    <w:rsid w:val="00951155"/>
    <w:rsid w:val="0095202C"/>
    <w:rsid w:val="00960D45"/>
    <w:rsid w:val="00992D4B"/>
    <w:rsid w:val="009C2481"/>
    <w:rsid w:val="009E2716"/>
    <w:rsid w:val="00A027AA"/>
    <w:rsid w:val="00A14858"/>
    <w:rsid w:val="00A84E8D"/>
    <w:rsid w:val="00AA4961"/>
    <w:rsid w:val="00AE246D"/>
    <w:rsid w:val="00B23F96"/>
    <w:rsid w:val="00B36967"/>
    <w:rsid w:val="00B450A8"/>
    <w:rsid w:val="00B839C1"/>
    <w:rsid w:val="00BD043F"/>
    <w:rsid w:val="00BD3BE6"/>
    <w:rsid w:val="00BD5763"/>
    <w:rsid w:val="00BF574A"/>
    <w:rsid w:val="00C53139"/>
    <w:rsid w:val="00C66C96"/>
    <w:rsid w:val="00C67ACD"/>
    <w:rsid w:val="00C84E2F"/>
    <w:rsid w:val="00CC3F93"/>
    <w:rsid w:val="00CC68F7"/>
    <w:rsid w:val="00D13E4B"/>
    <w:rsid w:val="00D141AF"/>
    <w:rsid w:val="00D15DBC"/>
    <w:rsid w:val="00D30CD7"/>
    <w:rsid w:val="00D575B5"/>
    <w:rsid w:val="00D57FB8"/>
    <w:rsid w:val="00DA066F"/>
    <w:rsid w:val="00DA7282"/>
    <w:rsid w:val="00DB7B6F"/>
    <w:rsid w:val="00DD53C6"/>
    <w:rsid w:val="00E202AD"/>
    <w:rsid w:val="00E36423"/>
    <w:rsid w:val="00E445E6"/>
    <w:rsid w:val="00E5395D"/>
    <w:rsid w:val="00E77085"/>
    <w:rsid w:val="00E948B6"/>
    <w:rsid w:val="00EA50F0"/>
    <w:rsid w:val="00EB6CC3"/>
    <w:rsid w:val="00EF09FE"/>
    <w:rsid w:val="00EF1BFE"/>
    <w:rsid w:val="00EF7BA9"/>
    <w:rsid w:val="00F86100"/>
    <w:rsid w:val="00FE6BAD"/>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E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6549"/>
    <w:rPr>
      <w:rFonts w:ascii="Times New Roman" w:eastAsia="Times New Roman" w:hAnsi="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link w:val="Zhlav"/>
    <w:qFormat/>
    <w:rsid w:val="000D72C7"/>
    <w:rPr>
      <w:rFonts w:ascii="Times New Roman" w:eastAsia="Calibri" w:hAnsi="Times New Roman" w:cs="Times New Roman"/>
      <w:sz w:val="24"/>
      <w:szCs w:val="24"/>
    </w:rPr>
  </w:style>
  <w:style w:type="character" w:styleId="Siln">
    <w:name w:val="Strong"/>
    <w:qFormat/>
    <w:rsid w:val="00072310"/>
    <w:rPr>
      <w:b/>
      <w:bCs/>
    </w:rPr>
  </w:style>
  <w:style w:type="character" w:customStyle="1" w:styleId="ZpatChar">
    <w:name w:val="Zápatí Char"/>
    <w:link w:val="Zpat"/>
    <w:uiPriority w:val="99"/>
    <w:qFormat/>
    <w:rsid w:val="004308ED"/>
    <w:rPr>
      <w:rFonts w:ascii="Times New Roman" w:eastAsia="Times New Roman" w:hAnsi="Times New Roman"/>
    </w:rPr>
  </w:style>
  <w:style w:type="character" w:customStyle="1" w:styleId="TextbublinyChar">
    <w:name w:val="Text bubliny Char"/>
    <w:link w:val="Textbubliny"/>
    <w:uiPriority w:val="99"/>
    <w:semiHidden/>
    <w:qFormat/>
    <w:rsid w:val="004308ED"/>
    <w:rPr>
      <w:rFonts w:ascii="Tahoma" w:eastAsia="Times New Roman" w:hAnsi="Tahoma" w:cs="Tahoma"/>
      <w:sz w:val="16"/>
      <w:szCs w:val="16"/>
    </w:rPr>
  </w:style>
  <w:style w:type="character" w:styleId="Hypertextovodkaz">
    <w:name w:val="Hyperlink"/>
    <w:basedOn w:val="Standardnpsmoodstavce"/>
    <w:uiPriority w:val="99"/>
    <w:unhideWhenUsed/>
    <w:rsid w:val="008450AC"/>
    <w:rPr>
      <w:color w:val="0000FF" w:themeColor="hyperlink"/>
      <w:u w:val="single"/>
    </w:rPr>
  </w:style>
  <w:style w:type="character" w:styleId="Odkaznakoment">
    <w:name w:val="annotation reference"/>
    <w:basedOn w:val="Standardnpsmoodstavce"/>
    <w:uiPriority w:val="99"/>
    <w:semiHidden/>
    <w:unhideWhenUsed/>
    <w:qFormat/>
    <w:rsid w:val="005F469F"/>
    <w:rPr>
      <w:sz w:val="16"/>
      <w:szCs w:val="16"/>
    </w:rPr>
  </w:style>
  <w:style w:type="character" w:customStyle="1" w:styleId="TextkomenteChar">
    <w:name w:val="Text komentáře Char"/>
    <w:basedOn w:val="Standardnpsmoodstavce"/>
    <w:link w:val="Textkomente"/>
    <w:uiPriority w:val="99"/>
    <w:qFormat/>
    <w:rsid w:val="005F469F"/>
    <w:rPr>
      <w:rFonts w:ascii="Times New Roman" w:eastAsia="Times New Roman" w:hAnsi="Times New Roman"/>
    </w:rPr>
  </w:style>
  <w:style w:type="character" w:customStyle="1" w:styleId="PedmtkomenteChar">
    <w:name w:val="Předmět komentáře Char"/>
    <w:basedOn w:val="TextkomenteChar"/>
    <w:link w:val="Pedmtkomente"/>
    <w:uiPriority w:val="99"/>
    <w:semiHidden/>
    <w:qFormat/>
    <w:rsid w:val="005F469F"/>
    <w:rPr>
      <w:rFonts w:ascii="Times New Roman" w:eastAsia="Times New Roman" w:hAnsi="Times New Roman"/>
      <w:b/>
      <w:bCs/>
    </w:rPr>
  </w:style>
  <w:style w:type="character" w:styleId="slodku">
    <w:name w:val="line number"/>
  </w:style>
  <w:style w:type="paragraph" w:customStyle="1" w:styleId="Nadpis">
    <w:name w:val="Nadpis"/>
    <w:basedOn w:val="Normln"/>
    <w:next w:val="Zkladntext"/>
    <w:qFormat/>
    <w:pPr>
      <w:keepNext/>
      <w:spacing w:before="240" w:after="120"/>
    </w:pPr>
    <w:rPr>
      <w:rFonts w:ascii="Liberation Sans" w:eastAsia="Noto Sans CJK SC" w:hAnsi="Liberation Sans" w:cs="FreeSans"/>
      <w:sz w:val="28"/>
      <w:szCs w:val="28"/>
    </w:rPr>
  </w:style>
  <w:style w:type="paragraph" w:styleId="Zkladntext">
    <w:name w:val="Body Text"/>
    <w:basedOn w:val="Normln"/>
    <w:pPr>
      <w:spacing w:after="140" w:line="276" w:lineRule="auto"/>
    </w:pPr>
  </w:style>
  <w:style w:type="paragraph" w:styleId="Seznam">
    <w:name w:val="List"/>
    <w:basedOn w:val="Zkladntext"/>
    <w:rPr>
      <w:rFonts w:cs="FreeSans"/>
    </w:rPr>
  </w:style>
  <w:style w:type="paragraph" w:styleId="Titulek">
    <w:name w:val="caption"/>
    <w:basedOn w:val="Normln"/>
    <w:qFormat/>
    <w:pPr>
      <w:suppressLineNumbers/>
      <w:spacing w:before="120" w:after="120"/>
    </w:pPr>
    <w:rPr>
      <w:rFonts w:cs="FreeSans"/>
      <w:i/>
      <w:iCs/>
      <w:szCs w:val="24"/>
    </w:rPr>
  </w:style>
  <w:style w:type="paragraph" w:customStyle="1" w:styleId="Rejstk">
    <w:name w:val="Rejstřík"/>
    <w:basedOn w:val="Normln"/>
    <w:qFormat/>
    <w:pPr>
      <w:suppressLineNumbers/>
    </w:pPr>
    <w:rPr>
      <w:rFonts w:cs="FreeSans"/>
    </w:rPr>
  </w:style>
  <w:style w:type="paragraph" w:customStyle="1" w:styleId="Zhlavazpat">
    <w:name w:val="Záhlaví a zápatí"/>
    <w:basedOn w:val="Normln"/>
    <w:qFormat/>
  </w:style>
  <w:style w:type="paragraph" w:styleId="Zhlav">
    <w:name w:val="header"/>
    <w:basedOn w:val="Normln"/>
    <w:link w:val="ZhlavChar"/>
    <w:unhideWhenUsed/>
    <w:rsid w:val="000D72C7"/>
    <w:pPr>
      <w:tabs>
        <w:tab w:val="center" w:pos="4536"/>
        <w:tab w:val="right" w:pos="9072"/>
      </w:tabs>
    </w:pPr>
    <w:rPr>
      <w:rFonts w:eastAsia="Calibri"/>
      <w:szCs w:val="24"/>
    </w:rPr>
  </w:style>
  <w:style w:type="paragraph" w:styleId="Zpat">
    <w:name w:val="footer"/>
    <w:basedOn w:val="Normln"/>
    <w:link w:val="ZpatChar"/>
    <w:uiPriority w:val="99"/>
    <w:unhideWhenUsed/>
    <w:rsid w:val="004308ED"/>
    <w:pPr>
      <w:tabs>
        <w:tab w:val="center" w:pos="4536"/>
        <w:tab w:val="right" w:pos="9072"/>
      </w:tabs>
    </w:pPr>
  </w:style>
  <w:style w:type="paragraph" w:styleId="Textbubliny">
    <w:name w:val="Balloon Text"/>
    <w:basedOn w:val="Normln"/>
    <w:link w:val="TextbublinyChar"/>
    <w:uiPriority w:val="99"/>
    <w:semiHidden/>
    <w:unhideWhenUsed/>
    <w:qFormat/>
    <w:rsid w:val="004308ED"/>
    <w:rPr>
      <w:rFonts w:ascii="Tahoma" w:hAnsi="Tahoma"/>
      <w:sz w:val="16"/>
      <w:szCs w:val="16"/>
    </w:rPr>
  </w:style>
  <w:style w:type="paragraph" w:styleId="Odstavecseseznamem">
    <w:name w:val="List Paragraph"/>
    <w:basedOn w:val="Normln"/>
    <w:uiPriority w:val="34"/>
    <w:qFormat/>
    <w:rsid w:val="00FF6549"/>
    <w:pPr>
      <w:ind w:left="720"/>
      <w:contextualSpacing/>
    </w:pPr>
  </w:style>
  <w:style w:type="paragraph" w:customStyle="1" w:styleId="2nesltext">
    <w:name w:val="2nečísl.text"/>
    <w:basedOn w:val="Normln"/>
    <w:qFormat/>
    <w:rsid w:val="003142C3"/>
    <w:pPr>
      <w:spacing w:before="120" w:after="240"/>
      <w:jc w:val="both"/>
    </w:pPr>
    <w:rPr>
      <w:rFonts w:ascii="Calibri" w:eastAsia="Calibri" w:hAnsi="Calibri"/>
      <w:sz w:val="22"/>
      <w:szCs w:val="22"/>
      <w:lang w:eastAsia="en-US"/>
    </w:rPr>
  </w:style>
  <w:style w:type="paragraph" w:styleId="Textkomente">
    <w:name w:val="annotation text"/>
    <w:basedOn w:val="Normln"/>
    <w:link w:val="TextkomenteChar"/>
    <w:uiPriority w:val="99"/>
    <w:unhideWhenUsed/>
    <w:qFormat/>
    <w:rsid w:val="005F469F"/>
  </w:style>
  <w:style w:type="paragraph" w:styleId="Pedmtkomente">
    <w:name w:val="annotation subject"/>
    <w:basedOn w:val="Textkomente"/>
    <w:next w:val="Textkomente"/>
    <w:link w:val="PedmtkomenteChar"/>
    <w:uiPriority w:val="99"/>
    <w:semiHidden/>
    <w:unhideWhenUsed/>
    <w:qFormat/>
    <w:rsid w:val="005F469F"/>
    <w:rPr>
      <w:b/>
      <w:bCs/>
    </w:rPr>
  </w:style>
  <w:style w:type="paragraph" w:customStyle="1" w:styleId="Obsahtabulky">
    <w:name w:val="Obsah tabulky"/>
    <w:basedOn w:val="Normln"/>
    <w:qFormat/>
    <w:pPr>
      <w:widowControl w:val="0"/>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59"/>
    <w:rsid w:val="00F63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D57FB8"/>
    <w:pPr>
      <w:suppressAutoHyphens w:val="0"/>
    </w:pPr>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E001A-E4A1-4A3B-B044-0333F9087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1811</Characters>
  <Application>Microsoft Office Word</Application>
  <DocSecurity>0</DocSecurity>
  <Lines>15</Lines>
  <Paragraphs>4</Paragraphs>
  <ScaleCrop>false</ScaleCrop>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2023-02-04T07:59:00Z</dcterms:created>
  <dcterms:modified xsi:type="dcterms:W3CDTF">2025-08-01T06:27:00Z</dcterms:modified>
  <dc:language/>
</cp:coreProperties>
</file>